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E3" w:rsidRDefault="006F64E3" w:rsidP="006F6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6F64E3" w:rsidRDefault="006F64E3" w:rsidP="006F6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6F64E3" w:rsidRDefault="006F64E3" w:rsidP="006F6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6F64E3" w:rsidRDefault="006F64E3" w:rsidP="006F6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4E3" w:rsidRDefault="006F64E3" w:rsidP="006F6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4E3" w:rsidRDefault="006F64E3" w:rsidP="006F6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6F64E3" w:rsidRDefault="006F64E3" w:rsidP="006F64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64E3" w:rsidRDefault="006F64E3" w:rsidP="006F6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 26.12.2019   №129</w:t>
      </w:r>
    </w:p>
    <w:p w:rsidR="006F64E3" w:rsidRDefault="006F64E3" w:rsidP="006F6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6F64E3" w:rsidRDefault="006F64E3" w:rsidP="006F64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4E3" w:rsidRDefault="006F64E3" w:rsidP="006F64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</w:rPr>
      </w:pPr>
    </w:p>
    <w:p w:rsidR="006F64E3" w:rsidRDefault="006F64E3" w:rsidP="006F6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Об утверждении Порядка формирования перечня </w:t>
      </w:r>
    </w:p>
    <w:p w:rsidR="006F64E3" w:rsidRDefault="006F64E3" w:rsidP="006F6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налоговых расходов Плотавского сельсовета Октябрьского района Курской области и оценки налоговых расходов Плотавского сельсовета Октябрьского района Курской области</w:t>
      </w:r>
    </w:p>
    <w:p w:rsidR="006F64E3" w:rsidRDefault="006F64E3" w:rsidP="006F64E3">
      <w:pPr>
        <w:pStyle w:val="ConsPlusNormal"/>
        <w:jc w:val="both"/>
      </w:pPr>
    </w:p>
    <w:p w:rsidR="006F64E3" w:rsidRDefault="006F64E3" w:rsidP="006F64E3">
      <w:pPr>
        <w:pStyle w:val="ConsPlusNormal"/>
        <w:jc w:val="both"/>
      </w:pP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174.3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Общими </w:t>
      </w:r>
      <w:hyperlink r:id="rId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требованиями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оценке налоговых расходов субъектов Российской Федерации и муниципальных образований, утвержденными Постановлением Правительства Российской Федерации от 22 июня 2019 года №796, Администрация Плотавского сельсовета Октябрьского района Курской области ПОСТАНОВЛЯЕТ: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r:id="rId6" w:anchor="P2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формирования перечня налоговых расходов Плотавского сельсовета Октябрьского района Курской области и оценки налоговых расходов Плотавского сельсовета Октябрьского района Курской области.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отдела Администрации Плотавского сельсовета Октябрьского района Курской области  С.В. Лазареву.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подписания.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Главы Плотавского сельсовета</w:t>
      </w:r>
    </w:p>
    <w:p w:rsidR="006F64E3" w:rsidRDefault="006F64E3" w:rsidP="006F64E3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Октябрьского района Курской области                           Л.А.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Мишина</w:t>
      </w:r>
      <w:proofErr w:type="gramEnd"/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Default="006F64E3" w:rsidP="006F64E3">
      <w:pPr>
        <w:pStyle w:val="ConsPlusNormal"/>
        <w:ind w:firstLine="496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Pr="006F64E3" w:rsidRDefault="006F64E3" w:rsidP="006F64E3">
      <w:pPr>
        <w:pStyle w:val="ConsPlusNormal"/>
        <w:ind w:firstLine="4962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F64E3" w:rsidRPr="006F64E3" w:rsidRDefault="006F64E3" w:rsidP="006F64E3">
      <w:pPr>
        <w:pStyle w:val="ConsPlusNormal"/>
        <w:ind w:firstLine="496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F64E3">
        <w:rPr>
          <w:rFonts w:ascii="Times New Roman" w:hAnsi="Times New Roman" w:cs="Times New Roman"/>
          <w:sz w:val="24"/>
          <w:szCs w:val="24"/>
        </w:rPr>
        <w:t>Утвержден</w:t>
      </w:r>
    </w:p>
    <w:p w:rsidR="006F64E3" w:rsidRDefault="006F64E3" w:rsidP="006F64E3">
      <w:pPr>
        <w:pStyle w:val="ConsPlusNormal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F64E3">
        <w:rPr>
          <w:rFonts w:ascii="Times New Roman" w:hAnsi="Times New Roman" w:cs="Times New Roman"/>
          <w:sz w:val="24"/>
          <w:szCs w:val="24"/>
        </w:rPr>
        <w:t>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E3">
        <w:rPr>
          <w:rFonts w:ascii="Times New Roman" w:hAnsi="Times New Roman" w:cs="Times New Roman"/>
          <w:sz w:val="24"/>
          <w:szCs w:val="24"/>
        </w:rPr>
        <w:t>Администрации Плотавского сельсовета</w:t>
      </w:r>
    </w:p>
    <w:p w:rsidR="006F64E3" w:rsidRPr="006F64E3" w:rsidRDefault="006F64E3" w:rsidP="006F64E3">
      <w:pPr>
        <w:pStyle w:val="ConsPlusNormal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 w:rsidRPr="006F64E3">
        <w:rPr>
          <w:rFonts w:ascii="Times New Roman" w:hAnsi="Times New Roman" w:cs="Times New Roman"/>
          <w:sz w:val="24"/>
          <w:szCs w:val="24"/>
        </w:rPr>
        <w:t xml:space="preserve"> Октябрьского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4E3"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6F64E3" w:rsidRPr="006F64E3" w:rsidRDefault="006F64E3" w:rsidP="006F64E3">
      <w:pPr>
        <w:pStyle w:val="ConsPlusNormal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 w:rsidRPr="006F64E3">
        <w:rPr>
          <w:rFonts w:ascii="Times New Roman" w:hAnsi="Times New Roman" w:cs="Times New Roman"/>
          <w:sz w:val="24"/>
          <w:szCs w:val="24"/>
        </w:rPr>
        <w:t>от 26 декабря 2019 года № 129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6F64E3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формирования перечня налоговых расходов Плотавского сельсовета Октябрьского района Курской области и оценки налоговых расходов </w:t>
      </w:r>
    </w:p>
    <w:p w:rsidR="006F64E3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Плотавского сельсовета Октябрьского района Курской области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Порядок определяет правила формирования перечня налоговых расходов Плотавского сельсовета Октябрьского района Курской области и оценки налоговых расходов Плотавского сельсовета Октябрьского района Курской области.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Понятия, используемые в настоящем Порядке, означают следующее: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куратор налогового расхода – Администрация Плотавского сельсовета Октябрьского района Курской области, ответственная в соответствии с полномочиями, установленными нормативными правовыми актами Плотавского сельсовета Октябрьского района Курской области, за достижение целей муниципальной программы Плотавского сельсовета Октябрьского района Курской области и (или) целей социально-экономической политики Плотавского сельсовета Октябрьского района Курской области, не относящихся к муниципальным программам Плотавского сельсовета Октябрьского района Курской области, соответствующих налоговому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расходу;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нормативные характеристики налоговых расходов Плотавского сельсовета Октябрьского района Курской области - сведения о положениях нормативных правовых актов Плотавского сельсовета Октябрьского района Курской области, которыми предусматриваются налоговые льготы, освобождения и иные преференции по налогам (далее - льготы), наименованиях налогов, по которым установлены льготы, категориях плательщиков, для которых предусмотрены льготы, а также иные характеристики по </w:t>
      </w:r>
      <w:hyperlink r:id="rId7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перечню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 (далее - приложение);</w:t>
      </w:r>
      <w:proofErr w:type="gramEnd"/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налоговых расходов Плотавского сельсовета Октябрьского района Курской области - комплекс мероприятий по оценке объемов налоговых расходов, обусловленных льготами, предоставленными плательщикам, а также по оценке эффективности налоговых расходов Плотавского сельсовета Октябрьского района Курской области;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объемов налоговых расходов - определение объемов выпадающих доходов бюджета Плотавского сельсовета Октябрьского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района, обусловленных льготами, предоставленными плательщикам;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налогового расхода -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налоговых расходов - документ, содержащий сведения о распределении налоговых расходов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в соответствии с целями муниципальных программ района, структурных элементов муниципальных программ и (или) целями социально-экономической политики района, не относящимися к муниципальным программам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области, а также о кураторах налоговых расходов;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плательщики - плательщики налогов;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налоговые расходы - целевая категория налоговых расходов, обусловленных необходимостью обеспечения социальной защиты (поддержки) населения;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стимулирующие налоговые расходы - целевая категория налоговых расходов, предполагающих стимулирование экономической активности субъектов предпринимательской деятельности и последующее увеличение доходов бюджета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технические налоговые расходы - целевая категория налоговых расходов, предполагающих уменьшение расходов плательщиков, имеющих право на льготы (воспользовавшихся льготами), финансовое обеспечение которых осуществляется в полном объеме или частично за счет средств бюджета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фискальные характеристики налоговых расходов - сведения об объеме льгот, предоставленных плательщикам, о численности получателей льгот, об объеме налогов, задекларированных ими для уплаты в бюджет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области, а также иные характеристики, предусмотренные </w:t>
      </w:r>
      <w:hyperlink r:id="rId8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целевые характеристики налоговых расходов - сведения о целевой категории налоговых расходов, целях предоставления плательщикам налоговых льгот, показателях (индикаторах) достижения целей предоставления льгот, а также иные характеристики, предусмотренные </w:t>
      </w:r>
      <w:hyperlink r:id="rId9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Порядок формирования перечня налоговых расходов</w:t>
      </w:r>
    </w:p>
    <w:p w:rsidR="006F64E3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3"/>
      <w:bookmarkEnd w:id="1"/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перечня налоговых расходов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на очередной финансовый год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плановый период (далее - проект перечня налоговых расходов) формируется Администрацией Октябрьского района Курской области и ежегодно до 25 марта направляется </w:t>
      </w:r>
      <w:r w:rsidR="00BF3D37">
        <w:rPr>
          <w:rFonts w:ascii="Times New Roman" w:hAnsi="Times New Roman" w:cs="Times New Roman"/>
          <w:sz w:val="28"/>
          <w:szCs w:val="28"/>
        </w:rPr>
        <w:t>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– разработчикам муниципальных программ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района, для формирования целевых характеристик налоговых расходов и согласования проекта перечня в части касающейся.</w:t>
      </w:r>
      <w:proofErr w:type="gramEnd"/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оформляется визой, включающей в себя наименование должности и личную подпись визирующего, расшифровку подписи, дату визирования.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5"/>
      <w:bookmarkEnd w:id="2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F3D37">
        <w:rPr>
          <w:rFonts w:ascii="Times New Roman" w:hAnsi="Times New Roman" w:cs="Times New Roman"/>
          <w:sz w:val="28"/>
          <w:szCs w:val="28"/>
        </w:rPr>
        <w:t>Специалисты</w:t>
      </w:r>
      <w:r>
        <w:rPr>
          <w:rFonts w:ascii="Times New Roman" w:hAnsi="Times New Roman" w:cs="Times New Roman"/>
          <w:sz w:val="28"/>
          <w:szCs w:val="28"/>
        </w:rPr>
        <w:t xml:space="preserve">, указанные в </w:t>
      </w:r>
      <w:hyperlink r:id="rId10" w:anchor="P53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рассматривают проект перечня налоговых расходов и формируют целевые характеристики налоговых расходов в соответствии с </w:t>
      </w:r>
      <w:hyperlink r:id="rId11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Отнесение налоговых расходов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к муниципальным программам района осуществляется исходя из целей муниципальных программ, структурных элементов муниципальных программ и (или) целей социально-экономической политики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области, не относящихся к муниципальным программам.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Замечания и (или) предложения по формированию и (или) уточнению проекта перечня налоговых расходов представляются ежегодно до 10 апреля.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В срок не позднее 15 рабочих дней после завершения процедур, указанных в </w:t>
      </w:r>
      <w:hyperlink r:id="rId12" w:anchor="P5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согласованный перечень налоговых расходов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утверждается Администрацией Октябрьского района Курской области и размещается на официальном сайте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в информационно-телекоммуникационной сети «Интернет».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Перечень налоговых расходов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с внесенными в него изменениями формируется до 1 октября (в случае уточнения структурных элементов муниципальных программ в рамках формирования проекта решения о бюджете на очередной финансовый год и плановый период) и до 15 декабря (в случае уточнения структурных элементов муниципальных программ в рамках рассмотрения и утверждения проекта решения о бюджете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очередной финансовый год и плановый период).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III. Правила формирования информации 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>, целевых</w:t>
      </w:r>
    </w:p>
    <w:p w:rsidR="004B3716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фискальных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характеристиках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налоговых расходов </w:t>
      </w:r>
    </w:p>
    <w:p w:rsidR="006F64E3" w:rsidRDefault="004B3716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="006F64E3">
        <w:rPr>
          <w:rFonts w:ascii="Times New Roman" w:hAnsi="Times New Roman" w:cs="Times New Roman"/>
          <w:sz w:val="28"/>
          <w:szCs w:val="28"/>
        </w:rPr>
        <w:t>Октябрьского района Курской области, подлежащей включению в паспорта налоговых расходов</w:t>
      </w:r>
    </w:p>
    <w:p w:rsidR="006F64E3" w:rsidRDefault="004B3716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="006F64E3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целях оценки налоговых расходов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ежегодно формируется информация о нормативных, целевых и фискальных характеристиках налоговых расходов </w:t>
      </w:r>
      <w:r w:rsidR="004B3716">
        <w:rPr>
          <w:rFonts w:ascii="Times New Roman" w:hAnsi="Times New Roman" w:cs="Times New Roman"/>
          <w:sz w:val="28"/>
          <w:szCs w:val="28"/>
        </w:rPr>
        <w:lastRenderedPageBreak/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в порядке, установленном настоящим разделом.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Администрация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до 1 февраля направляет в Управление Федеральной налоговой службы по Курской области сведения о категориях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плательщиков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указанием обусловливающих соответствующие налоговые расходы нормативных правовых актов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области, в том числе действовавших в отчетном году и в году, предшествующем отчетному году, и иной информации, предусмотренной </w:t>
      </w:r>
      <w:hyperlink r:id="rId13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на основании сведений, предоставленных Управлением Федеральной налоговой службы по Курской области до 10 апреля обобщает сведения о значениях фискальных характеристик налоговых расходов Октябрьского района Курской области за год, предшествующий отчетному году, а также показатели, необходимые для расчета совокупного бюджетного эффекта (самоокупаемости) стимулирующих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области:</w:t>
      </w:r>
      <w:proofErr w:type="gramEnd"/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номинальном темпе прироста налоговых доходов бюджета в i-м году по отношению к показателям базового года;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кредитной премии за риск.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целях оценки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за год, предшествующий отчетному году, куратор налоговых расходов: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формирует паспорта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за указанный период, содержащие информацию, предусмотренную </w:t>
      </w:r>
      <w:hyperlink r:id="rId14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осуществляет оценку эффективности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за указанный период.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Администрация </w:t>
      </w:r>
      <w:r w:rsidR="004B3716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осуществляет обобщение результатов оценки эффективности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за год, предшествующий отчетному году, и до 1 июня представляет в комитет финансов Курской области данные для оценки эффективности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по </w:t>
      </w:r>
      <w:hyperlink r:id="rId15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перечню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целях оценки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за отчетный финансовый год Администрация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формирует паспорта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за указанный период, содержащие информацию, предусмотренную </w:t>
      </w:r>
      <w:hyperlink r:id="rId16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осуществляют оценку эффективности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за указанный </w:t>
      </w:r>
      <w:r>
        <w:rPr>
          <w:rFonts w:ascii="Times New Roman" w:hAnsi="Times New Roman" w:cs="Times New Roman"/>
          <w:sz w:val="28"/>
          <w:szCs w:val="28"/>
        </w:rPr>
        <w:lastRenderedPageBreak/>
        <w:t>период.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Администрация</w:t>
      </w:r>
      <w:r w:rsidR="006E7B4C" w:rsidRPr="006E7B4C">
        <w:rPr>
          <w:rFonts w:ascii="Times New Roman" w:hAnsi="Times New Roman" w:cs="Times New Roman"/>
          <w:sz w:val="28"/>
          <w:szCs w:val="28"/>
        </w:rPr>
        <w:t xml:space="preserve"> </w:t>
      </w:r>
      <w:r w:rsidR="006E7B4C">
        <w:rPr>
          <w:rFonts w:ascii="Times New Roman" w:hAnsi="Times New Roman" w:cs="Times New Roman"/>
          <w:sz w:val="28"/>
          <w:szCs w:val="28"/>
        </w:rPr>
        <w:t>Плотавского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района: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обобщает результаты оценки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за отчетный финансовый год и представляет их для рассмотрения Главе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до 30 июля;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до 20 августа при необходимости представляет в комитет финансов Курской области уточненную информацию за отчетный финансовый год согласно </w:t>
      </w:r>
      <w:hyperlink r:id="rId17" w:anchor="P17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приложению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E7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IV. Порядок оценки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6E7B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Методика оценки эффективности 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 разрабатывается и утверждается куратором налоговых расходов в случае предоставления налоговых льгот, освобождений и иных преференций по налогам, сборам.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методике оценки эффективности налогового расхода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следует учитывать, что налоговый расход должен оказывать прямое или косвенное влияние на достижение целей муниципальной программы и (или) целей социально-экономической политики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области, не относящихся к муниципальным программам Курской области, соответствующих налоговому расходу.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Оценка эффективности налоговых расходов осуществляется куратором налоговых расходов и включает: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оценку целесообразности налоговых расходов;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оценку результативности налоговых расходов.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6"/>
      <w:bookmarkEnd w:id="3"/>
      <w:r>
        <w:rPr>
          <w:rFonts w:ascii="Times New Roman" w:hAnsi="Times New Roman" w:cs="Times New Roman"/>
          <w:sz w:val="28"/>
          <w:szCs w:val="28"/>
        </w:rPr>
        <w:t>16. Критериями оценки целесообразности налоговых расходов являются: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соответствие налоговых расходов целям муниципальных программ, структурных элементов муниципальных программ и (или) целям социально-экономической политики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области, не относящимся к муниципальным программам;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предоставленных льгот у плательщиков налога,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Методике необходимо отразить порядок определения общей численности плательщиков, источники указанных сведений и обоснование данной информации, а также пороговое значение, при котором льгота является востребованной.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куратором налоговых расходов могут быть установлены дополнительные критерии целесообразности предоставления льгот для плательщиков.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Налоговый расход должен соответствовать обоим критериям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целесообразности, указанным в </w:t>
      </w:r>
      <w:hyperlink r:id="rId18" w:anchor="P9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6 настоящего Порядка. В случае несоответствия налоговых расходов хотя бы одному из критериев, куратору налогового расхода надлежит представить Главе </w:t>
      </w:r>
      <w:r w:rsidR="006E7B4C">
        <w:rPr>
          <w:rFonts w:ascii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соответствующие предложения о сохранении, уточнении либо отмене льгот для плательщиков.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Критериями оценки результативности налоговых расходов являются: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оценка вклада налоговой льготы, обуславливающей налоговый расход, в изменение значения показателя (индикатора) достижения целей муниципальной программы и (или) целей социально-экономической политики;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оценка бюджетной эффективности;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оценка совокупного бюджетного эффекта (для стимулирующих налоговых расходов).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 качестве критерия оценки результативности налогового расхода определяется как минимум один показатель (индикатор) достижения целей муниципальной программы и (или) целей социально-экономической политики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области, не относящихся к муниципальным программам, либо иной показатель (индикатор), на значение которого оказывают влияние налоговые расходы.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Оценке подлежит вклад предусмотренных для плательщиков льгот в изменение значения показателя (индикатора) достижения целей муниципальной программы и (или) целей социально-экономической политики района, не относящихся к муниципальным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характера цели налогового расхода, в последующем определяется его целевая категория. Сведения о целевых категориях должны быть отражены в методике.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В целях проведения оценки бюджетной эффективности налоговых расходов осуществляется сравнительный анализ результативности предоставления льгот и результативности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применения альтернативных механизмов достижения целей муниципальной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(или) целей социально-экономической политики района, не относящихся к муниципальным программам, а также оценка совокупного бюджетного эффекта (самоокупаемости) стимулирующих налоговых расходов.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0"/>
      <w:bookmarkEnd w:id="4"/>
      <w:r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Сравнительный анализ включает сопоставление объемов расходов  бюджета в случае применения альтернативных механизмов достижения целей муниципальной программы и (или) целей социально-экономической политики района, не относящихся к муниципальным программам, и объемов предоставленных льгот (расчет прироста показателя (индикатора) достижения целей программы и (или) целей социально-экономической политики, не относящихся к программам, на 1 рубль налоговых расходов и на 1 рубль расходов бюджета для достижения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того же показателя (индикатора) в случае применения альтернативных механизмов).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Критериями сопоставления налогового расхода и альтернативного механизма должны быть идентичные показатели.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альтернативных механизмов достижения целей муниципальной программы и (или) целей социально-экономической политики района, не относящихся к муниципальным программам, могут учитываться в том числе: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субсидии или иные формы непосредственной финансовой поддержки плательщиков, имеющих право на льготы, за счет бюджета района;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предоставление муниципальных гарантий по обязательствам плательщиков, имеющих право на льготы;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Порядок обобщения результатов оценки эффективности</w:t>
      </w:r>
    </w:p>
    <w:p w:rsidR="006F64E3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налоговых расходов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итогам оценки эффективности налогового расхода куратор налогового расхода формулирует выводы о достижении целевых характеристик налогового расхода, о вкладе налогового расхода в достижение целей муниципальной программы и (или) целей социально-экономической политики района, не относящихся к муниципальным программам, а также о наличии или об отсутствии более результативных (менее затратных для  бюджета) альтернативных механизмов достижения целей муниципальной программы и (или) целей социально-экономической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политики,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относящихся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муниципальным программам.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Паспорта налоговых расходов с результатами оценки эффективности налоговых расходов, выводы, а также предложения о необходимости сохранения, уточнения или отмены предоставленных плательщикам льгот направляются куратором налоговых расходов Главе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Результаты рассмотрения оценки налоговых расходов учитываются при формировании основных направлений бюджетной и налоговой политики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области, а также при проведении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оценки эффективности реализации муниципальных программ Курской области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F64E3" w:rsidRDefault="006F64E3" w:rsidP="006F64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Информация о налоговых расходах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 xml:space="preserve">Октябрьского района Курской области размещается не позднее 1 октября текущего года на официальном сайте </w:t>
      </w:r>
      <w:r w:rsidR="006E7B4C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>
        <w:rPr>
          <w:rFonts w:ascii="Times New Roman" w:hAnsi="Times New Roman" w:cs="Times New Roman"/>
          <w:sz w:val="28"/>
          <w:szCs w:val="28"/>
        </w:rPr>
        <w:t>Октябрьского района в информационно-телекоммуникационной сети «Интернет».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E7B4C">
      <w:pPr>
        <w:pStyle w:val="ConsPlusNormal"/>
        <w:ind w:firstLine="4962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6F64E3" w:rsidRDefault="006F64E3" w:rsidP="006E7B4C">
      <w:pPr>
        <w:pStyle w:val="ConsPlusNormal"/>
        <w:ind w:firstLine="496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 формирования перечня</w:t>
      </w:r>
    </w:p>
    <w:p w:rsidR="006E7B4C" w:rsidRDefault="006F64E3" w:rsidP="006E7B4C">
      <w:pPr>
        <w:pStyle w:val="ConsPlusNormal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налоговых расходов</w:t>
      </w:r>
      <w:r w:rsidR="006E7B4C" w:rsidRPr="006E7B4C">
        <w:rPr>
          <w:rFonts w:ascii="Times New Roman" w:hAnsi="Times New Roman" w:cs="Times New Roman"/>
          <w:sz w:val="28"/>
          <w:szCs w:val="28"/>
        </w:rPr>
        <w:t xml:space="preserve"> </w:t>
      </w:r>
      <w:r w:rsidR="006E7B4C">
        <w:rPr>
          <w:rFonts w:ascii="Times New Roman" w:hAnsi="Times New Roman" w:cs="Times New Roman"/>
          <w:szCs w:val="22"/>
        </w:rPr>
        <w:t xml:space="preserve">Плотавского </w:t>
      </w:r>
      <w:r w:rsidR="006E7B4C" w:rsidRPr="006E7B4C">
        <w:rPr>
          <w:rFonts w:ascii="Times New Roman" w:hAnsi="Times New Roman" w:cs="Times New Roman"/>
          <w:szCs w:val="22"/>
        </w:rPr>
        <w:t>сельсовета</w:t>
      </w:r>
      <w:r w:rsidRPr="006E7B4C">
        <w:rPr>
          <w:rFonts w:ascii="Times New Roman" w:hAnsi="Times New Roman" w:cs="Times New Roman"/>
          <w:szCs w:val="22"/>
        </w:rPr>
        <w:t xml:space="preserve"> </w:t>
      </w:r>
      <w:r w:rsidR="006E7B4C">
        <w:rPr>
          <w:rFonts w:ascii="Times New Roman" w:hAnsi="Times New Roman" w:cs="Times New Roman"/>
          <w:szCs w:val="22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Октябрьского района</w:t>
      </w:r>
      <w:r w:rsidR="006E7B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287A28" w:rsidRDefault="006F64E3" w:rsidP="006E7B4C">
      <w:pPr>
        <w:pStyle w:val="ConsPlusNormal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оценки налоговых расходов</w:t>
      </w:r>
    </w:p>
    <w:p w:rsidR="00287A28" w:rsidRDefault="006E7B4C" w:rsidP="006E7B4C">
      <w:pPr>
        <w:pStyle w:val="ConsPlusNormal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 w:rsidRPr="006E7B4C">
        <w:rPr>
          <w:rFonts w:ascii="Times New Roman" w:hAnsi="Times New Roman" w:cs="Times New Roman"/>
          <w:sz w:val="28"/>
          <w:szCs w:val="28"/>
        </w:rPr>
        <w:t xml:space="preserve"> </w:t>
      </w:r>
      <w:r w:rsidR="00287A28">
        <w:rPr>
          <w:rFonts w:ascii="Times New Roman" w:hAnsi="Times New Roman" w:cs="Times New Roman"/>
          <w:szCs w:val="22"/>
        </w:rPr>
        <w:t xml:space="preserve">Плотавского </w:t>
      </w:r>
      <w:r w:rsidRPr="006E7B4C">
        <w:rPr>
          <w:rFonts w:ascii="Times New Roman" w:hAnsi="Times New Roman" w:cs="Times New Roman"/>
          <w:szCs w:val="22"/>
        </w:rPr>
        <w:t>сельсовета</w:t>
      </w:r>
      <w:r w:rsidR="006F64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64E3" w:rsidRDefault="006F64E3" w:rsidP="006E7B4C">
      <w:pPr>
        <w:pStyle w:val="ConsPlusNormal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Октябрьского района</w:t>
      </w:r>
      <w:r w:rsidR="006E7B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Курской области</w:t>
      </w:r>
    </w:p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72"/>
      <w:bookmarkEnd w:id="5"/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6F64E3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информации, включаемой в паспорт налогового расхода </w:t>
      </w:r>
    </w:p>
    <w:p w:rsidR="006F64E3" w:rsidRDefault="00311E08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11E08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="006F64E3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6F64E3" w:rsidRDefault="006F64E3" w:rsidP="006F64E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5929"/>
        <w:gridCol w:w="3401"/>
      </w:tblGrid>
      <w:tr w:rsidR="006F64E3" w:rsidTr="006F64E3">
        <w:tc>
          <w:tcPr>
            <w:tcW w:w="6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характеристики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Источник данных</w:t>
            </w:r>
          </w:p>
        </w:tc>
      </w:tr>
      <w:tr w:rsidR="006F64E3" w:rsidTr="006F64E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I. Нормативные характеристики налогового расхода </w:t>
            </w:r>
            <w:r w:rsidR="00287A28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 (далее - налоговый расход)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 w:rsidP="00287A2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Нормативный правовой акт </w:t>
            </w:r>
            <w:r w:rsidR="00287A28">
              <w:rPr>
                <w:rFonts w:ascii="Times New Roman" w:hAnsi="Times New Roman" w:cs="Times New Roman"/>
                <w:sz w:val="26"/>
                <w:szCs w:val="26"/>
              </w:rPr>
              <w:t>сельсовета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устанавливающий налоговые льготы (далее - НПА), освобождения и иные преференции по налогам (далее - льготы)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287A28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Ссылка на положение (статью, часть, пункт, подпункт, абзац) НПА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311E08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предоставления налоговых льгот для плательщиков налогов, установленные НПА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311E08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Целевая категория плательщиков налогов, для которых предусмотрены налоговые льготы, установленные НПА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311E08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вступления в силу положений НПА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311E08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начала действия предоставленного НПА права на налоговые льготы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311E08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 действия налоговых льгот по налогам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311E08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прекращения действия налоговых льгот по налогам, установленная НПА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II. Целевые характеристики налогового расхода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налоговой льготы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Целевая категория налогового расхода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Цели предоставления налоговых льгот для плательщиков налогов, установленных НПА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Наименования налогов, по которым предусматриваются налоговые льготы, установленные НПА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налоговых льгот,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Размер налоговой ставки, в пределах которой предоставляются налоговые льготы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Наименования муниципальных программ, наименования нормативных правовых актов, определяющих цели социально-экономической политики Октябрьского района Курской области, не относящиеся к муниципальным программам,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целях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которых предоставляются налоговые льготы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Наименования структурных элементов муниципальных программ, 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целях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которых предоставляются налоговые льготы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Показатели (индикаторы) достижения целей муниципальных программ и (или) целей социально-экономической политики района, не относящихся к муниципальным программам, в связи с предоставлением налоговых льгот для плательщиков налогов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Значения показателей (индикаторов) достижения целей муниципальных программ и (или) целей социально-экономической политики района, не относящихся к муниципальным программам, в связи с предоставлением налоговых льгот для плательщиков налогов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Прогнозные (оценочные) значения показателей (индикаторов) достижения целей муниципальных программ и (или) целей социально-экономической политики района, не относящихся к муниципальным программам, в связи с предоставлением налоговых льгот для плательщиков налогов на текущий финансовый год, очередной финансовый год и плановый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Код вида экономической деятельности (по ОКВЭД), к которому относится налоговый расход (если налоговый расход обусловлен налоговыми льготами для отдельных видов экономической деятельности)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9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III. Фискальные характеристики налогового расхода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налоговых льгот, предоставленных для плательщиков налогов за отчетный финансовый год и год, предшествующий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отчетному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(тыс. рублей)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данные УФНС России по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объема предоставленных налоговых льгот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данные Администрации 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Численность плательщиков налога, воспользовавшихся налоговой льготой (единиц)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данные УФНС России по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Базовый объем налогов, задекларированный для уплаты в бюджет района плательщиками налогов, имеющими право на налоговые льготы (тыс.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рублей)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данные УФНС России по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25.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налогов, задекларированный для уплаты в бюджет плательщиками налогов, имеющими право на налоговые льготы, за 6 лет, предшествующих отчетному финансовому году (тыс. рублей)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данные УФНС России по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 оценки эффективности налогового расхода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  <w:tr w:rsidR="006F64E3" w:rsidTr="006F64E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5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4E3" w:rsidRDefault="006F64E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данные Администрации </w:t>
            </w:r>
            <w:r w:rsidR="00BF3D37" w:rsidRPr="00287A28">
              <w:rPr>
                <w:rFonts w:ascii="Times New Roman" w:hAnsi="Times New Roman" w:cs="Times New Roman"/>
                <w:sz w:val="26"/>
                <w:szCs w:val="28"/>
              </w:rPr>
              <w:t xml:space="preserve">Плотавского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Октябрьского района Курской области</w:t>
            </w:r>
          </w:p>
        </w:tc>
      </w:tr>
    </w:tbl>
    <w:p w:rsidR="006F64E3" w:rsidRDefault="006F64E3" w:rsidP="006F64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4E3" w:rsidRDefault="006F64E3" w:rsidP="006F6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426E" w:rsidRDefault="00DB426E"/>
    <w:sectPr w:rsidR="00DB426E" w:rsidSect="00287A2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4E3"/>
    <w:rsid w:val="00287A28"/>
    <w:rsid w:val="00311E08"/>
    <w:rsid w:val="004B3716"/>
    <w:rsid w:val="006E7B4C"/>
    <w:rsid w:val="006F64E3"/>
    <w:rsid w:val="00786977"/>
    <w:rsid w:val="00BF3D37"/>
    <w:rsid w:val="00DB4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64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6F64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3">
    <w:name w:val="Hyperlink"/>
    <w:basedOn w:val="a0"/>
    <w:uiPriority w:val="99"/>
    <w:semiHidden/>
    <w:unhideWhenUsed/>
    <w:rsid w:val="006F64E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13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18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12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17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2" Type="http://schemas.openxmlformats.org/officeDocument/2006/relationships/settings" Target="settings.xml"/><Relationship Id="rId16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11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5" Type="http://schemas.openxmlformats.org/officeDocument/2006/relationships/hyperlink" Target="consultantplus://offline/ref=9B9B4E07729C4A6708249FF59D843784E75F7852D7B9294A0CC396199345B0F7D8CBFA65FA0BD36A3D32952200E4820264F961F462C19293dFX2N" TargetMode="External"/><Relationship Id="rId15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10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9B9B4E07729C4A6708249FF59D843784E75E7951D6B1294A0CC396199345B0F7D8CBFA60FD0DD4626968852649B18C1C67E67FF77CC1d9X2N" TargetMode="External"/><Relationship Id="rId9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Relationship Id="rId14" Type="http://schemas.openxmlformats.org/officeDocument/2006/relationships/hyperlink" Target="file:///C:\Users\&#1051;&#1102;&#1073;&#1086;&#1072;&#1100;\Downloads\&#1055;&#1086;&#1088;&#1103;&#1076;&#1086;&#1082;%20&#1087;&#1086;%20&#1085;&#1072;&#1083;&#1086;&#1075;&#1086;&#1074;&#1099;&#1084;%20&#1088;&#1072;&#1089;&#1093;&#1086;&#1076;&#1072;&#108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3929</Words>
  <Characters>22400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2020-05-13T07:48:00Z</cp:lastPrinted>
  <dcterms:created xsi:type="dcterms:W3CDTF">2020-05-12T13:16:00Z</dcterms:created>
  <dcterms:modified xsi:type="dcterms:W3CDTF">2020-05-13T07:49:00Z</dcterms:modified>
</cp:coreProperties>
</file>